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9A7" w:rsidRPr="008D7C60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15C00">
        <w:rPr>
          <w:rFonts w:ascii="Times New Roman" w:hAnsi="Times New Roman" w:cs="Times New Roman"/>
          <w:sz w:val="24"/>
          <w:szCs w:val="24"/>
        </w:rPr>
        <w:t>12</w:t>
      </w:r>
      <w:r w:rsidRPr="008D7C60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422E78">
        <w:rPr>
          <w:rFonts w:ascii="Times New Roman" w:hAnsi="Times New Roman" w:cs="Times New Roman"/>
          <w:sz w:val="24"/>
          <w:szCs w:val="24"/>
        </w:rPr>
        <w:t>Р</w:t>
      </w:r>
      <w:r w:rsidR="00C36134">
        <w:rPr>
          <w:rFonts w:ascii="Times New Roman" w:hAnsi="Times New Roman" w:cs="Times New Roman"/>
          <w:sz w:val="24"/>
          <w:szCs w:val="24"/>
        </w:rPr>
        <w:t>аспоряжению</w:t>
      </w:r>
      <w:r w:rsidRPr="008D7C60">
        <w:rPr>
          <w:rFonts w:ascii="Times New Roman" w:hAnsi="Times New Roman" w:cs="Times New Roman"/>
          <w:sz w:val="24"/>
          <w:szCs w:val="24"/>
        </w:rPr>
        <w:t xml:space="preserve"> от </w:t>
      </w:r>
      <w:r w:rsidR="00422E78">
        <w:rPr>
          <w:rFonts w:ascii="Times New Roman" w:hAnsi="Times New Roman" w:cs="Times New Roman"/>
          <w:sz w:val="24"/>
          <w:szCs w:val="24"/>
        </w:rPr>
        <w:t>29</w:t>
      </w:r>
      <w:r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  <w:r w:rsidR="00422E78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12</w:t>
      </w:r>
      <w:r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.20</w:t>
      </w:r>
      <w:r w:rsidR="00950FE3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</w:t>
      </w:r>
      <w:r w:rsidR="00422E78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3</w:t>
      </w:r>
      <w:r w:rsidRPr="008D7C60">
        <w:rPr>
          <w:rFonts w:ascii="Times New Roman" w:hAnsi="Times New Roman" w:cs="Times New Roman"/>
          <w:sz w:val="24"/>
          <w:szCs w:val="24"/>
        </w:rPr>
        <w:t xml:space="preserve"> № </w:t>
      </w:r>
      <w:r w:rsidR="00422E78">
        <w:rPr>
          <w:rFonts w:ascii="Times New Roman" w:hAnsi="Times New Roman" w:cs="Times New Roman"/>
          <w:sz w:val="24"/>
          <w:szCs w:val="24"/>
        </w:rPr>
        <w:t>113</w:t>
      </w:r>
    </w:p>
    <w:p w:rsidR="00915C00" w:rsidRDefault="00915C00" w:rsidP="008D7C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354B1E" w:rsidP="008D7C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 </w:t>
      </w:r>
      <w:r w:rsidR="008D7C60" w:rsidRPr="008D7C60">
        <w:rPr>
          <w:rFonts w:ascii="Times New Roman" w:hAnsi="Times New Roman" w:cs="Times New Roman"/>
          <w:b/>
          <w:sz w:val="24"/>
          <w:szCs w:val="24"/>
        </w:rPr>
        <w:t>Порядок признания в учете событий после отчетной даты</w:t>
      </w:r>
    </w:p>
    <w:p w:rsidR="008D7C60" w:rsidRPr="008D7C60" w:rsidRDefault="008D7C60" w:rsidP="008D7C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и порядок раскрытия информации об этих событиях</w:t>
      </w:r>
    </w:p>
    <w:p w:rsidR="008D7C60" w:rsidRPr="008D7C60" w:rsidRDefault="008D7C60" w:rsidP="008D7C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в бюджетной отчетности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8D7C60" w:rsidRPr="008D7C60" w:rsidRDefault="008D7C60" w:rsidP="008D7C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D7C60">
        <w:rPr>
          <w:rFonts w:ascii="Times New Roman" w:hAnsi="Times New Roman" w:cs="Times New Roman"/>
          <w:sz w:val="24"/>
          <w:szCs w:val="24"/>
        </w:rPr>
        <w:t>1.1. Настоящий Порядок устанавливает правила отражения и признания в бюджетном учете, а также раскрытия в бюджетной отчетности событий после отчетной даты.</w:t>
      </w:r>
    </w:p>
    <w:p w:rsidR="000F61F9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1.2. Ответственным за принятие решения об отражении событий после отчетной даты в учете и отчетности Администрации является</w:t>
      </w:r>
      <w:r w:rsidR="000F61F9">
        <w:rPr>
          <w:rFonts w:ascii="Times New Roman" w:hAnsi="Times New Roman" w:cs="Times New Roman"/>
          <w:sz w:val="24"/>
          <w:szCs w:val="24"/>
        </w:rPr>
        <w:t xml:space="preserve"> заведующий сектором экономики и финансов</w:t>
      </w:r>
      <w:r w:rsidRPr="008D7C60">
        <w:rPr>
          <w:rFonts w:ascii="Times New Roman" w:hAnsi="Times New Roman" w:cs="Times New Roman"/>
          <w:sz w:val="24"/>
          <w:szCs w:val="24"/>
        </w:rPr>
        <w:t>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1.3. Первичными учетными документами, отражающими событие после отчетной даты, являются документы, поступившие не позднее чем за два рабочих дня до установленного срока сдачи отчетности.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2. Понятие события после отчетной даты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2.1. Событием после отчетной даты признается факт хозяйственной жизни, который оказал или может оказать существенное влияние на финансовое состояние, движение денежных средств или результаты деятельности и имел место в период между отчетной датой и датой подписания бюджетной отчетности.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2.2. Датой подписания отчетности считается фактическая дата подписания в установленном порядке полного комплекта бюджетной отчетности.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2.3. 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Администрации.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Существенность события после отчетной даты Администрация определяет самостоятельно исходя из установленных требований к отчетности.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2.4. К событиям после отчетной даты относятся: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события, подтверждающие условия, существовавшие на отчетную дату;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события, свидетельствующие об условиях, возникших после отчетной даты.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3. Отражение, признание событий после отчетной даты</w:t>
      </w:r>
    </w:p>
    <w:p w:rsidR="008D7C60" w:rsidRPr="008D7C60" w:rsidRDefault="008D7C60" w:rsidP="008D7C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в учете и раскрытие в отчетности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3.1. Существенное событие после отчетной даты подлежит отражению в учете и отчетности независимо от его положительного или отрицательного характера для Администрации.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3.2. Событие, которое подтверждает условия хозяйственной деятельности, существовавшие на отчетную дату, отражается в следующем порядке: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lastRenderedPageBreak/>
        <w:t>- по счетам бюджетного учета записи формируются на конец отчетного периода;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отчетность за отчетный период формируется с учетом уточненных данных бюджетного учета;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в Пояснениях к отчетности раскрывается уточненная (с учетом имевшего место события) информация об условиях хозяйственной деятельности, существовавших на отчетную дату, если такая информация подлежит раскрытию в отчетности.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3.3. Событие, которое свидетельствует об условиях хозяйственной деятельности, возникших после отчетной даты, отражается в следующем порядке: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по счетам бюджетного учета записи формируются в общем порядке в периоде, следующем за отчетным;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числовые данные отчетности не корректируются в связи с событием;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в Пояснениях к отчетности за отчетный период раскрывается информация об указанном событии. В частности, описывается само событие и дается оценка его последствий в денежном выражении. При невозможности произвести денежную оценку на это указывается вместе с причинами, по которым сделать это невозможно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4. Перечень фактов хозяйственной жизни,</w:t>
      </w:r>
    </w:p>
    <w:p w:rsidR="008D7C60" w:rsidRPr="008D7C60" w:rsidRDefault="008D7C60" w:rsidP="008D7C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b/>
          <w:sz w:val="24"/>
          <w:szCs w:val="24"/>
        </w:rPr>
        <w:t>которые признаются событиями после отчетной даты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4.1. Событиями после отчетной даты, которые подтверждают существовавшие на отчетную дату условия хозяйственной деятельности, являются: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объявление в установленном порядке банкротом дебитора, если по состоянию на отчетную дату в отношении этого дебитора уже осуществлялась процедура банкротства;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завершение после отчетной даты судебного производства, в результате которого подтверждается наличие на эту дату актива и (или) обязательства;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завершение после отчетной даты процесса оформления изменений существенных условий сделки, если эти изменения распространяют свое действие на отчетный период;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получение от страховой организации документа, устанавливающего или уточняющего размер страхового возмещения по страховому случаю, произошедшему в отчетном периоде;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обнаружение ошибки в данных бюджетного учета за отчетный период до даты подписания отчетности;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другие события, соответствующие признакам события, подтверждающего условия, существовавшие на отчетную дату.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4.2. Событиями после отчетной даты, которые свидетельствуют о возникших после отчетной даты условиях хозяйственной деятельности, являются: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lastRenderedPageBreak/>
        <w:t>- изменение после отчетной даты кадастровых оценок нефинансовых активов;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принятие решения о реорганизации субъекта учета, о котором не было известно по состоянию на отчетную дату;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существенное поступление или выбытие активов;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пожар, авария, стихийное бедствие или другая чрезвычайная ситуация, в результате которой уничтожены или значительно повреждены активы;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изменение величины активов и (или) обязательств, произошедшее в результате изменения после отчетной даты курсов иностранных валют;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изменение законодательства, в том числе утверждение нормативных правовых актов, оформляющих начало реализации, изменение и прекращение государственных (муниципальных) программ и проектов, заключение и прекращение действия договоров и соглашений, а также иные решения, исполнение которых может существенно повлиять на величину активов, обязательств, доходов и расходов субъекта учета;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начало судебного производства, связанного исключительно с событиями, произошедшими после отчетной даты;</w:t>
      </w:r>
    </w:p>
    <w:p w:rsidR="008D7C60" w:rsidRPr="008D7C60" w:rsidRDefault="008D7C60" w:rsidP="008D7C6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7C60">
        <w:rPr>
          <w:rFonts w:ascii="Times New Roman" w:hAnsi="Times New Roman" w:cs="Times New Roman"/>
          <w:sz w:val="24"/>
          <w:szCs w:val="24"/>
        </w:rPr>
        <w:t>- другие события, свидетельствующие об условиях, возникших после отчетной даты.</w:t>
      </w: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8D7C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39A7" w:rsidRDefault="008039A7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8D7C60" w:rsidRPr="008D7C60" w:rsidRDefault="008D7C60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sectPr w:rsidR="008D7C60" w:rsidRPr="008D7C60" w:rsidSect="000A75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B9" w:rsidRDefault="00D84CB9" w:rsidP="002A5845">
      <w:r>
        <w:separator/>
      </w:r>
    </w:p>
  </w:endnote>
  <w:endnote w:type="continuationSeparator" w:id="0">
    <w:p w:rsidR="00D84CB9" w:rsidRDefault="00D84CB9" w:rsidP="002A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B9" w:rsidRDefault="00D84CB9" w:rsidP="002A5845">
      <w:r>
        <w:separator/>
      </w:r>
    </w:p>
  </w:footnote>
  <w:footnote w:type="continuationSeparator" w:id="0">
    <w:p w:rsidR="00D84CB9" w:rsidRDefault="00D84CB9" w:rsidP="002A5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5ED5"/>
    <w:multiLevelType w:val="multilevel"/>
    <w:tmpl w:val="B64A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522280"/>
    <w:multiLevelType w:val="multilevel"/>
    <w:tmpl w:val="7DD2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32BD3"/>
    <w:multiLevelType w:val="multilevel"/>
    <w:tmpl w:val="11B0DE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501"/>
    <w:rsid w:val="00013A8F"/>
    <w:rsid w:val="00043C91"/>
    <w:rsid w:val="00056242"/>
    <w:rsid w:val="00063709"/>
    <w:rsid w:val="000A7501"/>
    <w:rsid w:val="000E75EA"/>
    <w:rsid w:val="000F61F9"/>
    <w:rsid w:val="001324EC"/>
    <w:rsid w:val="001B223E"/>
    <w:rsid w:val="001E69C7"/>
    <w:rsid w:val="002142EB"/>
    <w:rsid w:val="00226BBD"/>
    <w:rsid w:val="00237B1E"/>
    <w:rsid w:val="00270692"/>
    <w:rsid w:val="002A5845"/>
    <w:rsid w:val="002A5979"/>
    <w:rsid w:val="002F7B4B"/>
    <w:rsid w:val="0032215A"/>
    <w:rsid w:val="0033295B"/>
    <w:rsid w:val="00354B1E"/>
    <w:rsid w:val="003C2AE7"/>
    <w:rsid w:val="00422E78"/>
    <w:rsid w:val="0044349E"/>
    <w:rsid w:val="0047542B"/>
    <w:rsid w:val="004909F9"/>
    <w:rsid w:val="004D4BE3"/>
    <w:rsid w:val="004E5254"/>
    <w:rsid w:val="00562762"/>
    <w:rsid w:val="0065355A"/>
    <w:rsid w:val="00665E9C"/>
    <w:rsid w:val="00675043"/>
    <w:rsid w:val="006B0287"/>
    <w:rsid w:val="006F1348"/>
    <w:rsid w:val="007272BD"/>
    <w:rsid w:val="007363AA"/>
    <w:rsid w:val="00766BF9"/>
    <w:rsid w:val="0079585D"/>
    <w:rsid w:val="007A5ECD"/>
    <w:rsid w:val="007E3230"/>
    <w:rsid w:val="007E4F34"/>
    <w:rsid w:val="008039A7"/>
    <w:rsid w:val="0080448E"/>
    <w:rsid w:val="008652AC"/>
    <w:rsid w:val="00874924"/>
    <w:rsid w:val="008C0848"/>
    <w:rsid w:val="008C25AB"/>
    <w:rsid w:val="008D7C60"/>
    <w:rsid w:val="00915C00"/>
    <w:rsid w:val="00950FE3"/>
    <w:rsid w:val="009A27A2"/>
    <w:rsid w:val="00A0629D"/>
    <w:rsid w:val="00A629B8"/>
    <w:rsid w:val="00AB5A97"/>
    <w:rsid w:val="00AF6774"/>
    <w:rsid w:val="00B315DA"/>
    <w:rsid w:val="00B35CC2"/>
    <w:rsid w:val="00B60F39"/>
    <w:rsid w:val="00B77C74"/>
    <w:rsid w:val="00BB16EE"/>
    <w:rsid w:val="00BC5F79"/>
    <w:rsid w:val="00BF7369"/>
    <w:rsid w:val="00C11252"/>
    <w:rsid w:val="00C300C4"/>
    <w:rsid w:val="00C36134"/>
    <w:rsid w:val="00C56B26"/>
    <w:rsid w:val="00C73C6B"/>
    <w:rsid w:val="00CE3C3B"/>
    <w:rsid w:val="00D02E32"/>
    <w:rsid w:val="00D84CB9"/>
    <w:rsid w:val="00DE469E"/>
    <w:rsid w:val="00DE6584"/>
    <w:rsid w:val="00E75592"/>
    <w:rsid w:val="00EC0F19"/>
    <w:rsid w:val="00EE0AFD"/>
    <w:rsid w:val="00EF1276"/>
    <w:rsid w:val="00F00964"/>
    <w:rsid w:val="00F10DD5"/>
    <w:rsid w:val="00F11DF2"/>
    <w:rsid w:val="00F373E6"/>
    <w:rsid w:val="00F45609"/>
    <w:rsid w:val="00F54D18"/>
    <w:rsid w:val="00F64D5F"/>
    <w:rsid w:val="00F75E4B"/>
    <w:rsid w:val="00F9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EB0F3-6D4E-4E42-813E-895490D6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9A7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039A7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8039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039A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39A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039A7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8039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03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039A7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039A7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8039A7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8039A7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8039A7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8039A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8039A7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8039A7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8039A7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8039A7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8039A7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8039A7"/>
    <w:rPr>
      <w:color w:val="FF9900"/>
    </w:rPr>
  </w:style>
  <w:style w:type="character" w:customStyle="1" w:styleId="small">
    <w:name w:val="small"/>
    <w:rsid w:val="008039A7"/>
    <w:rPr>
      <w:sz w:val="15"/>
      <w:szCs w:val="15"/>
    </w:rPr>
  </w:style>
  <w:style w:type="character" w:customStyle="1" w:styleId="fill">
    <w:name w:val="fill"/>
    <w:rsid w:val="008039A7"/>
    <w:rPr>
      <w:b/>
      <w:bCs/>
      <w:i/>
      <w:iCs/>
      <w:color w:val="FF0000"/>
    </w:rPr>
  </w:style>
  <w:style w:type="character" w:customStyle="1" w:styleId="maggd">
    <w:name w:val="maggd"/>
    <w:rsid w:val="008039A7"/>
    <w:rPr>
      <w:color w:val="006400"/>
    </w:rPr>
  </w:style>
  <w:style w:type="character" w:customStyle="1" w:styleId="magusn">
    <w:name w:val="magusn"/>
    <w:rsid w:val="008039A7"/>
    <w:rPr>
      <w:color w:val="006666"/>
    </w:rPr>
  </w:style>
  <w:style w:type="character" w:customStyle="1" w:styleId="enp">
    <w:name w:val="enp"/>
    <w:rsid w:val="008039A7"/>
    <w:rPr>
      <w:color w:val="3C7828"/>
    </w:rPr>
  </w:style>
  <w:style w:type="character" w:customStyle="1" w:styleId="kdkss">
    <w:name w:val="kdkss"/>
    <w:rsid w:val="008039A7"/>
    <w:rPr>
      <w:color w:val="BE780A"/>
    </w:rPr>
  </w:style>
  <w:style w:type="character" w:customStyle="1" w:styleId="actel">
    <w:name w:val="actel"/>
    <w:rsid w:val="008039A7"/>
    <w:rPr>
      <w:color w:val="E36C0A"/>
    </w:rPr>
  </w:style>
  <w:style w:type="character" w:styleId="a6">
    <w:name w:val="annotation reference"/>
    <w:uiPriority w:val="99"/>
    <w:semiHidden/>
    <w:unhideWhenUsed/>
    <w:rsid w:val="000A75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A7501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0A7501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A7501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A7501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75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A7501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2A58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2A5845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A58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2A5845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8C0848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4754</Characters>
  <Application>Microsoft Office Word</Application>
  <DocSecurity>0</DocSecurity>
  <PresentationFormat>uwdcab</PresentationFormat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5</cp:revision>
  <cp:lastPrinted>2024-06-12T12:42:00Z</cp:lastPrinted>
  <dcterms:created xsi:type="dcterms:W3CDTF">2024-06-12T11:50:00Z</dcterms:created>
  <dcterms:modified xsi:type="dcterms:W3CDTF">2024-06-20T09:09:00Z</dcterms:modified>
</cp:coreProperties>
</file>